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BC54DF" w:rsidP="00BC54DF" w:rsidRDefault="00BC54DF" w14:paraId="6024AA98" w14:textId="273D3096">
      <w:pPr>
        <w:pStyle w:val="Head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17DAEC0" wp14:editId="3CAB9D37">
            <wp:simplePos x="914400" y="122555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2" name="Picture 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16A913A0" w:rsidP="16A913A0" w:rsidRDefault="16A913A0" w14:paraId="26B043D3" w14:textId="21FE03BD">
      <w:pPr>
        <w:pStyle w:val="Header"/>
        <w:rPr>
          <w:rFonts w:ascii="Arial" w:hAnsi="Arial" w:cs="Arial"/>
          <w:b w:val="1"/>
          <w:bCs w:val="1"/>
          <w:sz w:val="28"/>
          <w:szCs w:val="28"/>
        </w:rPr>
      </w:pPr>
    </w:p>
    <w:p w:rsidRPr="0066606B" w:rsidR="00BC54DF" w:rsidP="00BC54DF" w:rsidRDefault="00BC54DF" w14:paraId="6300E49D" w14:textId="344F455C">
      <w:pPr>
        <w:pStyle w:val="Header"/>
        <w:rPr>
          <w:rFonts w:ascii="Arial" w:hAnsi="Arial" w:cs="Arial"/>
          <w:b/>
          <w:bCs/>
          <w:sz w:val="28"/>
          <w:szCs w:val="28"/>
        </w:rPr>
      </w:pPr>
      <w:r w:rsidRPr="0066606B">
        <w:rPr>
          <w:rFonts w:ascii="Arial" w:hAnsi="Arial" w:cs="Arial"/>
          <w:b/>
          <w:bCs/>
          <w:sz w:val="28"/>
          <w:szCs w:val="28"/>
        </w:rPr>
        <w:t xml:space="preserve">Worksheet </w:t>
      </w:r>
      <w:r>
        <w:rPr>
          <w:rFonts w:ascii="Arial" w:hAnsi="Arial" w:cs="Arial"/>
          <w:b/>
          <w:bCs/>
          <w:sz w:val="28"/>
          <w:szCs w:val="28"/>
        </w:rPr>
        <w:t>–</w:t>
      </w:r>
      <w:r w:rsidRPr="0066606B">
        <w:rPr>
          <w:rFonts w:ascii="Arial" w:hAnsi="Arial" w:cs="Arial"/>
          <w:b/>
          <w:bCs/>
          <w:sz w:val="28"/>
          <w:szCs w:val="28"/>
        </w:rPr>
        <w:t xml:space="preserve"> Legislation in a laboratory environment</w:t>
      </w:r>
    </w:p>
    <w:p w:rsidR="00BC54DF" w:rsidRDefault="00BC54DF" w14:paraId="64C7E09D" w14:textId="77777777">
      <w:pPr>
        <w:rPr>
          <w:rFonts w:ascii="Arial" w:hAnsi="Arial" w:cs="Arial"/>
          <w:b/>
          <w:noProof/>
          <w:sz w:val="28"/>
          <w:lang w:eastAsia="en-GB"/>
        </w:rPr>
      </w:pPr>
    </w:p>
    <w:p w:rsidR="00A535CB" w:rsidRDefault="00BB50A7" w14:paraId="7659443E" w14:textId="28DDEC88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t>Activity 2</w:t>
      </w:r>
    </w:p>
    <w:p w:rsidR="00A535CB" w:rsidRDefault="00BB50A7" w14:paraId="4AE0386A" w14:textId="4429111C">
      <w:pPr>
        <w:rPr>
          <w:rFonts w:ascii="Arial" w:hAnsi="Arial" w:cs="Arial"/>
          <w:noProof/>
          <w:sz w:val="24"/>
          <w:lang w:eastAsia="en-GB"/>
        </w:rPr>
      </w:pPr>
      <w:r>
        <w:rPr>
          <w:rFonts w:ascii="Arial" w:hAnsi="Arial" w:cs="Arial"/>
          <w:noProof/>
          <w:sz w:val="24"/>
          <w:lang w:eastAsia="en-GB"/>
        </w:rPr>
        <w:t xml:space="preserve">Using the </w:t>
      </w:r>
      <w:r w:rsidR="00D14519">
        <w:rPr>
          <w:rFonts w:ascii="Arial" w:hAnsi="Arial" w:cs="Arial"/>
          <w:noProof/>
          <w:sz w:val="24"/>
          <w:lang w:eastAsia="en-GB"/>
        </w:rPr>
        <w:t xml:space="preserve">hazard perception </w:t>
      </w:r>
      <w:r>
        <w:rPr>
          <w:rFonts w:ascii="Arial" w:hAnsi="Arial" w:cs="Arial"/>
          <w:noProof/>
          <w:sz w:val="24"/>
          <w:lang w:eastAsia="en-GB"/>
        </w:rPr>
        <w:t>video</w:t>
      </w:r>
      <w:r w:rsidR="00D14519">
        <w:rPr>
          <w:rFonts w:ascii="Arial" w:hAnsi="Arial" w:cs="Arial"/>
          <w:noProof/>
          <w:sz w:val="24"/>
          <w:lang w:eastAsia="en-GB"/>
        </w:rPr>
        <w:t>,</w:t>
      </w:r>
      <w:r>
        <w:rPr>
          <w:rFonts w:ascii="Arial" w:hAnsi="Arial" w:cs="Arial"/>
          <w:noProof/>
          <w:sz w:val="24"/>
          <w:lang w:eastAsia="en-GB"/>
        </w:rPr>
        <w:t xml:space="preserve"> look for examples of where legislation has been followed and applied in the workplace. </w:t>
      </w:r>
    </w:p>
    <w:p w:rsidR="00BB50A7" w:rsidRDefault="00BB50A7" w14:paraId="5EDD688A" w14:textId="4B1FD656">
      <w:pPr>
        <w:rPr>
          <w:rFonts w:ascii="Arial" w:hAnsi="Arial" w:cs="Arial"/>
          <w:noProof/>
          <w:sz w:val="24"/>
          <w:lang w:eastAsia="en-GB"/>
        </w:rPr>
      </w:pPr>
      <w:r>
        <w:rPr>
          <w:rFonts w:ascii="Arial" w:hAnsi="Arial" w:cs="Arial"/>
          <w:noProof/>
          <w:sz w:val="24"/>
          <w:lang w:eastAsia="en-GB"/>
        </w:rPr>
        <w:t xml:space="preserve">This could be applied in the form of signs </w:t>
      </w:r>
      <w:r w:rsidR="00D14519">
        <w:rPr>
          <w:rFonts w:ascii="Arial" w:hAnsi="Arial" w:cs="Arial"/>
          <w:noProof/>
          <w:sz w:val="24"/>
          <w:lang w:eastAsia="en-GB"/>
        </w:rPr>
        <w:t xml:space="preserve">and </w:t>
      </w:r>
      <w:r>
        <w:rPr>
          <w:rFonts w:ascii="Arial" w:hAnsi="Arial" w:cs="Arial"/>
          <w:noProof/>
          <w:sz w:val="24"/>
          <w:lang w:eastAsia="en-GB"/>
        </w:rPr>
        <w:t xml:space="preserve">notices or specific practices that you can observe in the environment. </w:t>
      </w:r>
    </w:p>
    <w:p w:rsidRPr="00BB50A7" w:rsidR="00BB50A7" w:rsidRDefault="00BB50A7" w14:paraId="6B180E20" w14:textId="711174D7">
      <w:pPr>
        <w:rPr>
          <w:rFonts w:ascii="Arial" w:hAnsi="Arial" w:cs="Arial"/>
          <w:b/>
          <w:noProof/>
          <w:sz w:val="24"/>
          <w:lang w:eastAsia="en-GB"/>
        </w:rPr>
      </w:pPr>
      <w:r w:rsidRPr="00BB50A7">
        <w:rPr>
          <w:rFonts w:ascii="Arial" w:hAnsi="Arial" w:cs="Arial"/>
          <w:b/>
          <w:noProof/>
          <w:sz w:val="24"/>
          <w:lang w:eastAsia="en-GB"/>
        </w:rPr>
        <w:t xml:space="preserve">Note: </w:t>
      </w:r>
      <w:r>
        <w:rPr>
          <w:rFonts w:ascii="Arial" w:hAnsi="Arial" w:cs="Arial"/>
          <w:noProof/>
          <w:sz w:val="24"/>
          <w:lang w:eastAsia="en-GB"/>
        </w:rPr>
        <w:t>Not all legislation will appear in each video and some may have multiple examples in each category</w:t>
      </w:r>
      <w:r w:rsidR="00D14519">
        <w:rPr>
          <w:rFonts w:ascii="Arial" w:hAnsi="Arial" w:cs="Arial"/>
          <w:noProof/>
          <w:sz w:val="24"/>
          <w:lang w:eastAsia="en-GB"/>
        </w:rPr>
        <w:t>.</w:t>
      </w:r>
    </w:p>
    <w:p w:rsidR="00AF7356" w:rsidRDefault="00AF7356" w14:paraId="0B83808F" w14:textId="02CB0EF5">
      <w:pPr>
        <w:rPr>
          <w:rFonts w:ascii="Arial" w:hAnsi="Arial" w:cs="Arial"/>
          <w:noProof/>
          <w:sz w:val="24"/>
          <w:lang w:eastAsia="en-GB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3823"/>
        <w:gridCol w:w="5193"/>
      </w:tblGrid>
      <w:tr w:rsidR="00AF7356" w:rsidTr="0026377F" w14:paraId="7F13789D" w14:textId="77777777">
        <w:tc>
          <w:tcPr>
            <w:tcW w:w="3823" w:type="dxa"/>
          </w:tcPr>
          <w:p w:rsidRPr="008E3F3A" w:rsidR="00AF7356" w:rsidP="00AF7356" w:rsidRDefault="00AF7356" w14:paraId="1A63E87B" w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E3F3A">
              <w:rPr>
                <w:rFonts w:ascii="Arial" w:hAnsi="Arial" w:cs="Arial"/>
                <w:b/>
                <w:sz w:val="24"/>
                <w:szCs w:val="24"/>
              </w:rPr>
              <w:t>Legislation</w:t>
            </w:r>
          </w:p>
          <w:p w:rsidR="00AF7356" w:rsidP="00AF7356" w:rsidRDefault="00AF7356" w14:paraId="5067558B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5193" w:type="dxa"/>
          </w:tcPr>
          <w:p w:rsidR="00AF7356" w:rsidP="00BB50A7" w:rsidRDefault="00BB50A7" w14:paraId="27499388" w14:textId="3AF19494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Example</w:t>
            </w:r>
          </w:p>
        </w:tc>
      </w:tr>
      <w:tr w:rsidR="00AF7356" w:rsidTr="0026377F" w14:paraId="7542F0FC" w14:textId="77777777">
        <w:tc>
          <w:tcPr>
            <w:tcW w:w="3823" w:type="dxa"/>
          </w:tcPr>
          <w:p w:rsidR="00AF7356" w:rsidP="00C4325B" w:rsidRDefault="00C4325B" w14:paraId="3BF9BF46" w14:textId="587E966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Display Screen Equipment Regulations (1992)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193" w:type="dxa"/>
          </w:tcPr>
          <w:p w:rsidR="00AF7356" w:rsidP="00AF7356" w:rsidRDefault="00AF7356" w14:paraId="7C28ECB9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928A0FF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63FB688F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E622D8" w:rsidP="00AF7356" w:rsidRDefault="00E622D8" w14:paraId="184DACAA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772BC3A2" w14:textId="3E058381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1EF4AF2C" w14:textId="77777777">
        <w:tc>
          <w:tcPr>
            <w:tcW w:w="3823" w:type="dxa"/>
          </w:tcPr>
          <w:p w:rsidR="00AF7356" w:rsidP="00C4325B" w:rsidRDefault="00C4325B" w14:paraId="5A8B7275" w14:textId="279322EC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Waste Electrical and Electronic Equipment Regulations (WEEE) (2012)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193" w:type="dxa"/>
          </w:tcPr>
          <w:p w:rsidR="00AF7356" w:rsidP="00AF7356" w:rsidRDefault="00AF7356" w14:paraId="7B4E3C35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E622D8" w:rsidP="00AF7356" w:rsidRDefault="00E622D8" w14:paraId="677707FB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2C6715D1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1D0D1F45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2B2D02A" w14:textId="387FE1FB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782D3BED" w14:textId="77777777">
        <w:tc>
          <w:tcPr>
            <w:tcW w:w="3823" w:type="dxa"/>
          </w:tcPr>
          <w:p w:rsidR="00AF7356" w:rsidP="00C4325B" w:rsidRDefault="00C4325B" w14:paraId="4AC30E64" w14:textId="7206BBC9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Reporting of Injuries, Diseases and Dangerous Occurrences Regulations (RIDDOR) (2013)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193" w:type="dxa"/>
          </w:tcPr>
          <w:p w:rsidR="00AF7356" w:rsidP="00AF7356" w:rsidRDefault="00AF7356" w14:paraId="452AC20B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2232EEB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D802D57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76E9AC13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80BF3A9" w14:textId="7492C27A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6028901F" w14:textId="77777777">
        <w:tc>
          <w:tcPr>
            <w:tcW w:w="3823" w:type="dxa"/>
          </w:tcPr>
          <w:p w:rsidR="00AF7356" w:rsidP="00AF7356" w:rsidRDefault="00C4325B" w14:paraId="432316B4" w14:textId="0F06A9F5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Regulatory Reform (Fire S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E3F3A">
              <w:rPr>
                <w:rFonts w:ascii="Arial" w:hAnsi="Arial" w:cs="Arial"/>
                <w:sz w:val="24"/>
                <w:szCs w:val="24"/>
              </w:rPr>
              <w:t>fety) Order (RRO) (2005)</w:t>
            </w:r>
          </w:p>
        </w:tc>
        <w:tc>
          <w:tcPr>
            <w:tcW w:w="5193" w:type="dxa"/>
          </w:tcPr>
          <w:p w:rsidR="00C4325B" w:rsidP="00AF7356" w:rsidRDefault="00C4325B" w14:paraId="5EAAC071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E622D8" w:rsidP="00AF7356" w:rsidRDefault="00E622D8" w14:paraId="2B0C39C6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68A8E756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0254691E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42AC4B8" w14:textId="3D3BC1A0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5418E5EA" w14:textId="77777777">
        <w:tc>
          <w:tcPr>
            <w:tcW w:w="3823" w:type="dxa"/>
          </w:tcPr>
          <w:p w:rsidR="00AF7356" w:rsidP="00C4325B" w:rsidRDefault="00C4325B" w14:paraId="3A014F75" w14:textId="6E519CBE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Personal Protective Equipment (Enforcement) Regulations (2018)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193" w:type="dxa"/>
          </w:tcPr>
          <w:p w:rsidR="00E622D8" w:rsidP="00AF7356" w:rsidRDefault="00E622D8" w14:paraId="21DD76B1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D7A110C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6273515A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03D71D9" w14:textId="4F73278D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5F5217E4" w14:textId="10456BAD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0EFCB2C6" w14:textId="77777777">
        <w:tc>
          <w:tcPr>
            <w:tcW w:w="3823" w:type="dxa"/>
          </w:tcPr>
          <w:p w:rsidR="00AF7356" w:rsidP="00AF7356" w:rsidRDefault="00C4325B" w14:paraId="110B5741" w14:textId="4FF15B5F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lastRenderedPageBreak/>
              <w:t>Health and Safety at Work Act (1974)</w:t>
            </w:r>
          </w:p>
        </w:tc>
        <w:tc>
          <w:tcPr>
            <w:tcW w:w="5193" w:type="dxa"/>
          </w:tcPr>
          <w:p w:rsidR="00AF7356" w:rsidP="00AF7356" w:rsidRDefault="00AF7356" w14:paraId="439AF33D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7DDC1683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2497CD3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76369243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7B1F0D49" w14:textId="634C03B1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35C0EF28" w14:textId="77777777">
        <w:tc>
          <w:tcPr>
            <w:tcW w:w="3823" w:type="dxa"/>
          </w:tcPr>
          <w:p w:rsidR="00AF7356" w:rsidP="00AF7356" w:rsidRDefault="00C4325B" w14:paraId="49B1A455" w14:textId="09C02278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Hazardous Waste Regulations (2005)</w:t>
            </w:r>
          </w:p>
        </w:tc>
        <w:tc>
          <w:tcPr>
            <w:tcW w:w="5193" w:type="dxa"/>
          </w:tcPr>
          <w:p w:rsidR="00AF7356" w:rsidP="00AF7356" w:rsidRDefault="00AF7356" w14:paraId="55569585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916F47B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2CA782C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67BADF9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EFA331C" w14:textId="13FF5C11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75977381" w14:textId="77777777">
        <w:tc>
          <w:tcPr>
            <w:tcW w:w="3823" w:type="dxa"/>
          </w:tcPr>
          <w:p w:rsidR="00C4325B" w:rsidP="00AF7356" w:rsidRDefault="00C4325B" w14:paraId="07F9AAE0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Special Waste Regulation (1996)</w:t>
            </w:r>
          </w:p>
          <w:p w:rsidR="00AF7356" w:rsidP="00AF7356" w:rsidRDefault="00AF7356" w14:paraId="2FE04319" w14:textId="6CDD00A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5193" w:type="dxa"/>
          </w:tcPr>
          <w:p w:rsidR="00AF7356" w:rsidP="00AF7356" w:rsidRDefault="00AF7356" w14:paraId="29C8709B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2B35B77A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4B1BE57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E20FC06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97AE7E7" w14:textId="70CA9281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4C20E7A8" w14:textId="77777777">
        <w:tc>
          <w:tcPr>
            <w:tcW w:w="3823" w:type="dxa"/>
          </w:tcPr>
          <w:p w:rsidR="00AF7356" w:rsidP="00C4325B" w:rsidRDefault="00C4325B" w14:paraId="5021E6DE" w14:textId="53A4A02F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Environmental Protection Act (1990) </w:t>
            </w:r>
          </w:p>
        </w:tc>
        <w:tc>
          <w:tcPr>
            <w:tcW w:w="5193" w:type="dxa"/>
          </w:tcPr>
          <w:p w:rsidR="00AF7356" w:rsidP="00AF7356" w:rsidRDefault="00AF7356" w14:paraId="49F5C6F2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AE72CE9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6194E675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21D87E6E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3FA2C584" w14:textId="00372CF2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0C733E97" w14:textId="77777777">
        <w:tc>
          <w:tcPr>
            <w:tcW w:w="3823" w:type="dxa"/>
          </w:tcPr>
          <w:p w:rsidR="00AF7356" w:rsidP="00AF7356" w:rsidRDefault="00C4325B" w14:paraId="68076B7F" w14:textId="23252E6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Manual Handling Operations Regulations (1992)</w:t>
            </w:r>
          </w:p>
        </w:tc>
        <w:tc>
          <w:tcPr>
            <w:tcW w:w="5193" w:type="dxa"/>
          </w:tcPr>
          <w:p w:rsidR="00AF7356" w:rsidP="00AF7356" w:rsidRDefault="00AF7356" w14:paraId="771F956C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AC149FD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F006011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2870480E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7FB3E5C3" w14:textId="5FC3DE42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2AC8A63A" w14:textId="77777777">
        <w:tc>
          <w:tcPr>
            <w:tcW w:w="3823" w:type="dxa"/>
          </w:tcPr>
          <w:p w:rsidR="00AF7356" w:rsidP="00C4325B" w:rsidRDefault="00C4325B" w14:paraId="2D02BB8E" w14:textId="20EE96C1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Control of Substances Hazardous to Health (COSHH) (2002) </w:t>
            </w:r>
          </w:p>
        </w:tc>
        <w:tc>
          <w:tcPr>
            <w:tcW w:w="5193" w:type="dxa"/>
          </w:tcPr>
          <w:p w:rsidR="00AF7356" w:rsidP="00AF7356" w:rsidRDefault="00AF7356" w14:paraId="4E04365B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5694DD83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0E0B3811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E7FEDEB" w14:textId="76AAAA9D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5CE203E9" w14:textId="66DD2FCE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:rsidTr="0026377F" w14:paraId="5D8C1EAB" w14:textId="77777777">
        <w:tc>
          <w:tcPr>
            <w:tcW w:w="3823" w:type="dxa"/>
          </w:tcPr>
          <w:p w:rsidR="00AF7356" w:rsidP="00AF7356" w:rsidRDefault="00C4325B" w14:paraId="1BD7D7B8" w14:textId="6AF6A35F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Management of the Health and Safety at Work Regulations (1999)</w:t>
            </w:r>
          </w:p>
        </w:tc>
        <w:tc>
          <w:tcPr>
            <w:tcW w:w="5193" w:type="dxa"/>
          </w:tcPr>
          <w:p w:rsidR="00AF7356" w:rsidP="00AF7356" w:rsidRDefault="00AF7356" w14:paraId="045038BE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7ADCA990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1716894C" w14:textId="7777777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704874FA" w14:textId="436AE39C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  <w:p w:rsidR="00BB50A7" w:rsidP="00AF7356" w:rsidRDefault="00BB50A7" w14:paraId="427B63DE" w14:textId="2F5523BA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</w:tbl>
    <w:p w:rsidR="00BC54DF" w:rsidRDefault="00BC54DF" w14:paraId="08B3AED3" w14:textId="5A99A5E9">
      <w:pPr>
        <w:rPr>
          <w:rFonts w:ascii="Arial" w:hAnsi="Arial" w:cs="Arial"/>
          <w:b/>
          <w:sz w:val="28"/>
        </w:rPr>
      </w:pPr>
    </w:p>
    <w:p w:rsidR="00BC54DF" w:rsidRDefault="00BC54DF" w14:paraId="537ED40E" w14:textId="4399F2F4">
      <w:pPr>
        <w:rPr>
          <w:rFonts w:ascii="Arial" w:hAnsi="Arial" w:cs="Arial"/>
          <w:b/>
          <w:sz w:val="28"/>
        </w:rPr>
      </w:pPr>
    </w:p>
    <w:p w:rsidR="00BC54DF" w:rsidP="16A913A0" w:rsidRDefault="00BC54DF" w14:paraId="63A29B7B" w14:noSpellErr="1" w14:textId="69B2F2C4">
      <w:pPr>
        <w:pStyle w:val="Normal"/>
        <w:rPr>
          <w:rFonts w:ascii="Arial" w:hAnsi="Arial" w:cs="Arial"/>
          <w:b w:val="1"/>
          <w:bCs w:val="1"/>
          <w:sz w:val="28"/>
          <w:szCs w:val="28"/>
        </w:rPr>
      </w:pPr>
    </w:p>
    <w:p w:rsidR="00BC54DF" w:rsidRDefault="00BC54DF" w14:paraId="0925C061" w14:textId="0851ED48">
      <w:pPr>
        <w:rPr>
          <w:rFonts w:ascii="Arial" w:hAnsi="Arial" w:cs="Arial"/>
          <w:b/>
          <w:sz w:val="28"/>
        </w:rPr>
      </w:pPr>
    </w:p>
    <w:p w:rsidR="00BC54DF" w:rsidRDefault="00BC54DF" w14:paraId="4A08A4CB" w14:textId="48A6DE15">
      <w:pPr>
        <w:rPr>
          <w:rFonts w:ascii="Arial" w:hAnsi="Arial" w:cs="Arial"/>
          <w:b/>
          <w:sz w:val="28"/>
        </w:rPr>
      </w:pPr>
    </w:p>
    <w:p w:rsidRPr="004F37D1" w:rsidR="00BC54DF" w:rsidRDefault="00BC54DF" w14:paraId="44A29968" w14:textId="3571D819">
      <w:pPr>
        <w:rPr>
          <w:rFonts w:ascii="Arial" w:hAnsi="Arial" w:cs="Arial"/>
          <w:b/>
          <w:sz w:val="2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Pr="004F37D1" w:rsidR="00BC54DF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E6E5D" w:rsidP="004F37D1" w:rsidRDefault="00FE6E5D" w14:paraId="4453B8C4" w14:textId="77777777">
      <w:pPr>
        <w:spacing w:after="0" w:line="240" w:lineRule="auto"/>
      </w:pPr>
      <w:r>
        <w:separator/>
      </w:r>
    </w:p>
  </w:endnote>
  <w:endnote w:type="continuationSeparator" w:id="0">
    <w:p w:rsidR="00FE6E5D" w:rsidP="004F37D1" w:rsidRDefault="00FE6E5D" w14:paraId="78B3F89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E6E5D" w:rsidP="004F37D1" w:rsidRDefault="00FE6E5D" w14:paraId="273561AC" w14:textId="77777777">
      <w:pPr>
        <w:spacing w:after="0" w:line="240" w:lineRule="auto"/>
      </w:pPr>
      <w:r>
        <w:separator/>
      </w:r>
    </w:p>
  </w:footnote>
  <w:footnote w:type="continuationSeparator" w:id="0">
    <w:p w:rsidR="00FE6E5D" w:rsidP="004F37D1" w:rsidRDefault="00FE6E5D" w14:paraId="401D7C3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54DF" w:rsidP="00A535CB" w:rsidRDefault="00BC54DF" w14:paraId="4E45B368" w14:textId="77777777">
    <w:pPr>
      <w:rPr>
        <w:noProof/>
      </w:rPr>
    </w:pPr>
  </w:p>
  <w:p w:rsidR="00BB50A7" w:rsidP="00A535CB" w:rsidRDefault="00C75131" w14:paraId="03B8F18E" w14:textId="3C9F81DC">
    <w:pPr>
      <w:rPr>
        <w:rFonts w:ascii="Arial" w:hAnsi="Arial" w:cs="Arial"/>
        <w:b/>
        <w:noProof/>
        <w:sz w:val="28"/>
        <w:lang w:eastAsia="en-GB"/>
      </w:rPr>
    </w:pPr>
    <w:r>
      <w:rPr>
        <w:noProof/>
      </w:rPr>
      <w:ptab w:alignment="right" w:relativeTo="margin" w:leader="none"/>
    </w:r>
  </w:p>
  <w:p w:rsidR="00BB50A7" w:rsidRDefault="00BB50A7" w14:paraId="2731013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E09"/>
    <w:multiLevelType w:val="hybridMultilevel"/>
    <w:tmpl w:val="0F186E9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E865442"/>
    <w:multiLevelType w:val="hybridMultilevel"/>
    <w:tmpl w:val="4A0641B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83940232">
    <w:abstractNumId w:val="1"/>
  </w:num>
  <w:num w:numId="2" w16cid:durableId="676536214">
    <w:abstractNumId w:val="3"/>
  </w:num>
  <w:num w:numId="3" w16cid:durableId="1754277966">
    <w:abstractNumId w:val="2"/>
  </w:num>
  <w:num w:numId="4" w16cid:durableId="2133860316">
    <w:abstractNumId w:val="0"/>
  </w:num>
  <w:num w:numId="5" w16cid:durableId="292953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00113"/>
    <w:rsid w:val="00044BCC"/>
    <w:rsid w:val="000469AE"/>
    <w:rsid w:val="001C36C0"/>
    <w:rsid w:val="0026377F"/>
    <w:rsid w:val="002B13B3"/>
    <w:rsid w:val="004F37D1"/>
    <w:rsid w:val="004F6D25"/>
    <w:rsid w:val="005E025C"/>
    <w:rsid w:val="0066606B"/>
    <w:rsid w:val="00696FC2"/>
    <w:rsid w:val="008A7EDF"/>
    <w:rsid w:val="008B3589"/>
    <w:rsid w:val="00993C3F"/>
    <w:rsid w:val="00A535CB"/>
    <w:rsid w:val="00AF7356"/>
    <w:rsid w:val="00B3196E"/>
    <w:rsid w:val="00BB50A7"/>
    <w:rsid w:val="00BC54DF"/>
    <w:rsid w:val="00BD07D4"/>
    <w:rsid w:val="00BE40AA"/>
    <w:rsid w:val="00C4325B"/>
    <w:rsid w:val="00C75131"/>
    <w:rsid w:val="00C83F19"/>
    <w:rsid w:val="00CD3A66"/>
    <w:rsid w:val="00D14519"/>
    <w:rsid w:val="00D40B8E"/>
    <w:rsid w:val="00D75055"/>
    <w:rsid w:val="00E032EE"/>
    <w:rsid w:val="00E500F1"/>
    <w:rsid w:val="00E622D8"/>
    <w:rsid w:val="00EB3A97"/>
    <w:rsid w:val="00EB61B8"/>
    <w:rsid w:val="00ED7B73"/>
    <w:rsid w:val="00F40783"/>
    <w:rsid w:val="00FD5F17"/>
    <w:rsid w:val="00FE6E5D"/>
    <w:rsid w:val="16A9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table" w:styleId="TableGrid">
    <w:name w:val="Table Grid"/>
    <w:basedOn w:val="TableNormal"/>
    <w:uiPriority w:val="39"/>
    <w:rsid w:val="00A535C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044BCC"/>
    <w:pPr>
      <w:spacing w:after="0" w:line="240" w:lineRule="auto"/>
    </w:pPr>
  </w:style>
  <w:style w:type="character" w:styleId="normaltextrun" w:customStyle="1">
    <w:name w:val="normaltextrun"/>
    <w:basedOn w:val="DefaultParagraphFont"/>
    <w:rsid w:val="00BC54DF"/>
  </w:style>
  <w:style w:type="character" w:styleId="eop" w:customStyle="1">
    <w:name w:val="eop"/>
    <w:basedOn w:val="DefaultParagraphFont"/>
    <w:rsid w:val="00BC5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E9C09679-0005-418A-B489-8CA60639FA7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Preston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3</cp:revision>
  <dcterms:created xsi:type="dcterms:W3CDTF">2022-10-05T14:02:00Z</dcterms:created>
  <dcterms:modified xsi:type="dcterms:W3CDTF">2022-10-05T14:20:52Z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